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Arial" w:cs="Arial" w:eastAsia="Arial" w:hAnsi="Arial"/>
          <w:b/>
          <w:bCs/>
          <w:color w:val="1A1A1A"/>
          <w:sz w:val="34"/>
          <w:szCs w:val="34"/>
        </w:rPr>
        <w:t xml:space="preserve">Data Protection (GDPR) Policy</w:t>
      </w:r>
    </w:p>
    <w:p>
      <w:pPr>
        <w:spacing w:after="160"/>
      </w:pPr>
      <w:r>
        <w:rPr>
          <w:rFonts w:ascii="Arial" w:cs="Arial" w:eastAsia="Arial" w:hAnsi="Arial"/>
          <w:color w:val="595959"/>
          <w:sz w:val="21"/>
          <w:szCs w:val="21"/>
        </w:rPr>
        <w:t xml:space="preserve">How the Company handles personal data and meets its duties under the UK GDPR and the Data Protection Act 2018. This is an internal, staff-facing policy and is separate from the public-facing privacy notice you publish for customers.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FBF7EF" w:val="clear"/>
            <w:tcMar>
              <w:top w:type="dxa" w:w="130"/>
              <w:left w:type="dxa" w:w="160"/>
              <w:bottom w:type="dxa" w:w="130"/>
              <w:right w:type="dxa" w:w="160"/>
            </w:tcMar>
          </w:tcPr>
          <w:p>
            <w:r>
              <w:rPr>
                <w:rFonts w:ascii="Arial" w:cs="Arial" w:eastAsia="Arial" w:hAnsi="Arial"/>
                <w:i/>
                <w:iCs/>
                <w:color w:val="595959"/>
                <w:sz w:val="18"/>
                <w:szCs w:val="18"/>
              </w:rPr>
              <w:t xml:space="preserve">How to use this template: fill the highlighted boxes in the document control panel below, then read through and adjust the wording to fit how your business actually works. Edit this Word version, then save or export to PDF when it is final. Wherever the policy says “the Company” it means the organisation named in that panel.</w:t>
            </w:r>
          </w:p>
        </w:tc>
      </w:tr>
    </w:tbl>
    <w:p>
      <w:pPr>
        <w:spacing w:after="80" w:before="160"/>
      </w:pPr>
      <w:r>
        <w:rPr>
          <w:rFonts w:ascii="Arial" w:cs="Arial" w:eastAsia="Arial" w:hAnsi="Arial"/>
          <w:b/>
          <w:bCs/>
          <w:color w:val="1A1A1A"/>
          <w:sz w:val="20"/>
          <w:szCs w:val="20"/>
        </w:rPr>
        <w:t xml:space="preserve">Document control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Company name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company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Policy owner / responsible person</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and role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Approved by</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name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Date adopted</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Next review date</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date ]</w:t>
            </w:r>
          </w:p>
        </w:tc>
      </w:tr>
      <w:tr>
        <w:tc>
          <w:tcPr>
            <w:tcW w:type="dxa" w:w="3200"/>
            <w:tcBorders>
              <w:top w:val="single" w:color="D9D9D9" w:sz="2"/>
              <w:left w:val="single" w:color="D9D9D9" w:sz="2"/>
              <w:bottom w:val="single" w:color="D9D9D9" w:sz="2"/>
              <w:right w:val="single" w:color="D9D9D9" w:sz="2"/>
            </w:tcBorders>
            <w:shd w:fill="F2F2F2" w:val="clear"/>
            <w:tcMar>
              <w:top w:type="dxa" w:w="60"/>
              <w:left w:type="dxa" w:w="120"/>
              <w:bottom w:type="dxa" w:w="60"/>
              <w:right w:type="dxa" w:w="120"/>
            </w:tcMar>
          </w:tcPr>
          <w:p>
            <w:r>
              <w:rPr>
                <w:rFonts w:ascii="Arial" w:cs="Arial" w:eastAsia="Arial" w:hAnsi="Arial"/>
                <w:b/>
                <w:bCs/>
                <w:color w:val="1A1A1A"/>
                <w:sz w:val="19"/>
                <w:szCs w:val="19"/>
              </w:rPr>
              <w:t xml:space="preserve">ICO registration number</w:t>
            </w:r>
          </w:p>
        </w:tc>
        <w:tc>
          <w:tcPr>
            <w:tcW w:type="dxa" w:w="6160"/>
            <w:tcBorders>
              <w:top w:val="single" w:color="D9D9D9" w:sz="2"/>
              <w:left w:val="single" w:color="D9D9D9" w:sz="2"/>
              <w:bottom w:val="single" w:color="D9D9D9" w:sz="2"/>
              <w:right w:val="single" w:color="D9D9D9" w:sz="2"/>
            </w:tcBorders>
            <w:shd w:fill="EAF1FB" w:val="clear"/>
            <w:tcMar>
              <w:top w:type="dxa" w:w="60"/>
              <w:left w:type="dxa" w:w="120"/>
              <w:bottom w:type="dxa" w:w="60"/>
              <w:right w:type="dxa" w:w="120"/>
            </w:tcMar>
          </w:tcPr>
          <w:p>
            <w:r>
              <w:rPr>
                <w:rFonts w:ascii="Arial" w:cs="Arial" w:eastAsia="Arial" w:hAnsi="Arial"/>
                <w:b/>
                <w:bCs/>
                <w:color w:val="7A4D00"/>
                <w:sz w:val="21"/>
                <w:szCs w:val="21"/>
                <w:highlight w:val="yellow"/>
                <w:highlightCs w:val="yellow"/>
              </w:rPr>
              <w:t xml:space="preserve">[ number ]</w:t>
            </w:r>
          </w:p>
        </w:tc>
      </w:tr>
    </w:tbl>
    <w:p>
      <w:pPr>
        <w:pBdr>
          <w:bottom w:val="single" w:color="1A1A1A" w:sz="4" w:space="4"/>
        </w:pBdr>
        <w:spacing w:after="100" w:before="240"/>
      </w:pPr>
      <w:r>
        <w:rPr>
          <w:rFonts w:ascii="Arial" w:cs="Arial" w:eastAsia="Arial" w:hAnsi="Arial"/>
          <w:b/>
          <w:bCs/>
          <w:color w:val="1A1A1A"/>
          <w:sz w:val="23"/>
          <w:szCs w:val="23"/>
        </w:rPr>
        <w:t xml:space="preserve">1. Purpose and scope</w:t>
      </w:r>
    </w:p>
    <w:p>
      <w:pPr>
        <w:spacing w:after="120" w:line="276"/>
      </w:pPr>
      <w:r>
        <w:rPr>
          <w:rFonts w:ascii="Arial" w:cs="Arial" w:eastAsia="Arial" w:hAnsi="Arial"/>
          <w:color w:val="1A1A1A"/>
          <w:sz w:val="21"/>
          <w:szCs w:val="21"/>
        </w:rPr>
        <w:t xml:space="preserve">This policy applies to all staff who handle personal data on the Company's behalf. Personal data means any information relating to an identified or identifiable living person.</w:t>
      </w:r>
    </w:p>
    <w:p>
      <w:pPr>
        <w:pBdr>
          <w:bottom w:val="single" w:color="1A1A1A" w:sz="4" w:space="4"/>
        </w:pBdr>
        <w:spacing w:after="100" w:before="240"/>
      </w:pPr>
      <w:r>
        <w:rPr>
          <w:rFonts w:ascii="Arial" w:cs="Arial" w:eastAsia="Arial" w:hAnsi="Arial"/>
          <w:b/>
          <w:bCs/>
          <w:color w:val="1A1A1A"/>
          <w:sz w:val="23"/>
          <w:szCs w:val="23"/>
        </w:rPr>
        <w:t xml:space="preserve">2. Data protection principles</w:t>
      </w:r>
    </w:p>
    <w:p>
      <w:pPr>
        <w:spacing w:after="120" w:line="276"/>
      </w:pPr>
      <w:r>
        <w:rPr>
          <w:rFonts w:ascii="Arial" w:cs="Arial" w:eastAsia="Arial" w:hAnsi="Arial"/>
          <w:color w:val="1A1A1A"/>
          <w:sz w:val="21"/>
          <w:szCs w:val="21"/>
        </w:rPr>
        <w:t xml:space="preserve">The Company processes personal data in line with the principles of the UK GDPR. Personal data must be:</w:t>
      </w:r>
    </w:p>
    <w:p>
      <w:pPr>
        <w:pStyle w:val="ListParagraph"/>
        <w:numPr>
          <w:ilvl w:val="0"/>
          <w:numId w:val="1"/>
        </w:numPr>
        <w:spacing w:after="60" w:line="276"/>
      </w:pPr>
      <w:r>
        <w:rPr>
          <w:rFonts w:ascii="Arial" w:cs="Arial" w:eastAsia="Arial" w:hAnsi="Arial"/>
          <w:color w:val="1A1A1A"/>
          <w:sz w:val="21"/>
          <w:szCs w:val="21"/>
        </w:rPr>
        <w:t xml:space="preserve">processed lawfully, fairly and transparently;</w:t>
      </w:r>
    </w:p>
    <w:p>
      <w:pPr>
        <w:pStyle w:val="ListParagraph"/>
        <w:numPr>
          <w:ilvl w:val="0"/>
          <w:numId w:val="1"/>
        </w:numPr>
        <w:spacing w:after="60" w:line="276"/>
      </w:pPr>
      <w:r>
        <w:rPr>
          <w:rFonts w:ascii="Arial" w:cs="Arial" w:eastAsia="Arial" w:hAnsi="Arial"/>
          <w:color w:val="1A1A1A"/>
          <w:sz w:val="21"/>
          <w:szCs w:val="21"/>
        </w:rPr>
        <w:t xml:space="preserve">collected for specified, explicit and legitimate purposes;</w:t>
      </w:r>
    </w:p>
    <w:p>
      <w:pPr>
        <w:pStyle w:val="ListParagraph"/>
        <w:numPr>
          <w:ilvl w:val="0"/>
          <w:numId w:val="1"/>
        </w:numPr>
        <w:spacing w:after="60" w:line="276"/>
      </w:pPr>
      <w:r>
        <w:rPr>
          <w:rFonts w:ascii="Arial" w:cs="Arial" w:eastAsia="Arial" w:hAnsi="Arial"/>
          <w:color w:val="1A1A1A"/>
          <w:sz w:val="21"/>
          <w:szCs w:val="21"/>
        </w:rPr>
        <w:t xml:space="preserve">adequate, relevant and limited to what is necessary;</w:t>
      </w:r>
    </w:p>
    <w:p>
      <w:pPr>
        <w:pStyle w:val="ListParagraph"/>
        <w:numPr>
          <w:ilvl w:val="0"/>
          <w:numId w:val="1"/>
        </w:numPr>
        <w:spacing w:after="60" w:line="276"/>
      </w:pPr>
      <w:r>
        <w:rPr>
          <w:rFonts w:ascii="Arial" w:cs="Arial" w:eastAsia="Arial" w:hAnsi="Arial"/>
          <w:color w:val="1A1A1A"/>
          <w:sz w:val="21"/>
          <w:szCs w:val="21"/>
        </w:rPr>
        <w:t xml:space="preserve">accurate and kept up to date;</w:t>
      </w:r>
    </w:p>
    <w:p>
      <w:pPr>
        <w:pStyle w:val="ListParagraph"/>
        <w:numPr>
          <w:ilvl w:val="0"/>
          <w:numId w:val="1"/>
        </w:numPr>
        <w:spacing w:after="60" w:line="276"/>
      </w:pPr>
      <w:r>
        <w:rPr>
          <w:rFonts w:ascii="Arial" w:cs="Arial" w:eastAsia="Arial" w:hAnsi="Arial"/>
          <w:color w:val="1A1A1A"/>
          <w:sz w:val="21"/>
          <w:szCs w:val="21"/>
        </w:rPr>
        <w:t xml:space="preserve">kept no longer than necessary;</w:t>
      </w:r>
    </w:p>
    <w:p>
      <w:pPr>
        <w:pStyle w:val="ListParagraph"/>
        <w:numPr>
          <w:ilvl w:val="0"/>
          <w:numId w:val="1"/>
        </w:numPr>
        <w:spacing w:after="60" w:line="276"/>
      </w:pPr>
      <w:r>
        <w:rPr>
          <w:rFonts w:ascii="Arial" w:cs="Arial" w:eastAsia="Arial" w:hAnsi="Arial"/>
          <w:color w:val="1A1A1A"/>
          <w:sz w:val="21"/>
          <w:szCs w:val="21"/>
        </w:rPr>
        <w:t xml:space="preserve">handled securely, including protection against unauthorised access, loss or damage.</w:t>
      </w:r>
    </w:p>
    <w:p>
      <w:pPr>
        <w:pBdr>
          <w:bottom w:val="single" w:color="1A1A1A" w:sz="4" w:space="4"/>
        </w:pBdr>
        <w:spacing w:after="100" w:before="240"/>
      </w:pPr>
      <w:r>
        <w:rPr>
          <w:rFonts w:ascii="Arial" w:cs="Arial" w:eastAsia="Arial" w:hAnsi="Arial"/>
          <w:b/>
          <w:bCs/>
          <w:color w:val="1A1A1A"/>
          <w:sz w:val="23"/>
          <w:szCs w:val="23"/>
        </w:rPr>
        <w:t xml:space="preserve">3. Lawful basis</w:t>
      </w:r>
    </w:p>
    <w:p>
      <w:pPr>
        <w:spacing w:after="120" w:line="276"/>
      </w:pPr>
      <w:r>
        <w:rPr>
          <w:rFonts w:ascii="Arial" w:cs="Arial" w:eastAsia="Arial" w:hAnsi="Arial"/>
          <w:color w:val="1A1A1A"/>
          <w:sz w:val="21"/>
          <w:szCs w:val="21"/>
        </w:rPr>
        <w:t xml:space="preserve">The Company will identify and record a lawful basis before processing personal data, for example consent, contract, legal obligation or legitimate interests. Special category data is handled with additional safeguards.</w:t>
      </w:r>
    </w:p>
    <w:p>
      <w:pPr>
        <w:pBdr>
          <w:bottom w:val="single" w:color="1A1A1A" w:sz="4" w:space="4"/>
        </w:pBdr>
        <w:spacing w:after="100" w:before="240"/>
      </w:pPr>
      <w:r>
        <w:rPr>
          <w:rFonts w:ascii="Arial" w:cs="Arial" w:eastAsia="Arial" w:hAnsi="Arial"/>
          <w:b/>
          <w:bCs/>
          <w:color w:val="1A1A1A"/>
          <w:sz w:val="23"/>
          <w:szCs w:val="23"/>
        </w:rPr>
        <w:t xml:space="preserve">4. Individual rights</w:t>
      </w:r>
    </w:p>
    <w:p>
      <w:pPr>
        <w:spacing w:after="120" w:line="276"/>
      </w:pPr>
      <w:r>
        <w:rPr>
          <w:rFonts w:ascii="Arial" w:cs="Arial" w:eastAsia="Arial" w:hAnsi="Arial"/>
          <w:color w:val="1A1A1A"/>
          <w:sz w:val="21"/>
          <w:szCs w:val="21"/>
        </w:rPr>
        <w:t xml:space="preserve">The Company respects individuals' rights, including the right to be informed and to access, rectify, erase, restrict, port or object to the processing of their data. Requests are passed to the responsible person and answered within the statutory timeframe.</w:t>
      </w:r>
    </w:p>
    <w:p>
      <w:pPr>
        <w:pBdr>
          <w:bottom w:val="single" w:color="1A1A1A" w:sz="4" w:space="4"/>
        </w:pBdr>
        <w:spacing w:after="100" w:before="240"/>
      </w:pPr>
      <w:r>
        <w:rPr>
          <w:rFonts w:ascii="Arial" w:cs="Arial" w:eastAsia="Arial" w:hAnsi="Arial"/>
          <w:b/>
          <w:bCs/>
          <w:color w:val="1A1A1A"/>
          <w:sz w:val="23"/>
          <w:szCs w:val="23"/>
        </w:rPr>
        <w:t xml:space="preserve">5. Staff responsibilities</w:t>
      </w:r>
    </w:p>
    <w:p>
      <w:pPr>
        <w:pStyle w:val="ListParagraph"/>
        <w:numPr>
          <w:ilvl w:val="0"/>
          <w:numId w:val="1"/>
        </w:numPr>
        <w:spacing w:after="60" w:line="276"/>
      </w:pPr>
      <w:r>
        <w:rPr>
          <w:rFonts w:ascii="Arial" w:cs="Arial" w:eastAsia="Arial" w:hAnsi="Arial"/>
          <w:color w:val="1A1A1A"/>
          <w:sz w:val="21"/>
          <w:szCs w:val="21"/>
        </w:rPr>
        <w:t xml:space="preserve">Only access personal data you need for your role.</w:t>
      </w:r>
    </w:p>
    <w:p>
      <w:pPr>
        <w:pStyle w:val="ListParagraph"/>
        <w:numPr>
          <w:ilvl w:val="0"/>
          <w:numId w:val="1"/>
        </w:numPr>
        <w:spacing w:after="60" w:line="276"/>
      </w:pPr>
      <w:r>
        <w:rPr>
          <w:rFonts w:ascii="Arial" w:cs="Arial" w:eastAsia="Arial" w:hAnsi="Arial"/>
          <w:color w:val="1A1A1A"/>
          <w:sz w:val="21"/>
          <w:szCs w:val="21"/>
        </w:rPr>
        <w:t xml:space="preserve">Keep it secure: strong passwords, locked screens, no data on unauthorised devices.</w:t>
      </w:r>
    </w:p>
    <w:p>
      <w:pPr>
        <w:pStyle w:val="ListParagraph"/>
        <w:numPr>
          <w:ilvl w:val="0"/>
          <w:numId w:val="1"/>
        </w:numPr>
        <w:spacing w:after="60" w:line="276"/>
      </w:pPr>
      <w:r>
        <w:rPr>
          <w:rFonts w:ascii="Arial" w:cs="Arial" w:eastAsia="Arial" w:hAnsi="Arial"/>
          <w:color w:val="1A1A1A"/>
          <w:sz w:val="21"/>
          <w:szCs w:val="21"/>
        </w:rPr>
        <w:t xml:space="preserve">Do not share personal data without authority and a lawful basis.</w:t>
      </w:r>
    </w:p>
    <w:p>
      <w:pPr>
        <w:pStyle w:val="ListParagraph"/>
        <w:numPr>
          <w:ilvl w:val="0"/>
          <w:numId w:val="1"/>
        </w:numPr>
        <w:spacing w:after="60" w:line="276"/>
      </w:pPr>
      <w:r>
        <w:rPr>
          <w:rFonts w:ascii="Arial" w:cs="Arial" w:eastAsia="Arial" w:hAnsi="Arial"/>
          <w:color w:val="1A1A1A"/>
          <w:sz w:val="21"/>
          <w:szCs w:val="21"/>
        </w:rPr>
        <w:t xml:space="preserve">Report any suspected data breach immediately to the responsible person.</w:t>
      </w:r>
    </w:p>
    <w:p>
      <w:pPr>
        <w:pBdr>
          <w:bottom w:val="single" w:color="1A1A1A" w:sz="4" w:space="4"/>
        </w:pBdr>
        <w:spacing w:after="100" w:before="240"/>
      </w:pPr>
      <w:r>
        <w:rPr>
          <w:rFonts w:ascii="Arial" w:cs="Arial" w:eastAsia="Arial" w:hAnsi="Arial"/>
          <w:b/>
          <w:bCs/>
          <w:color w:val="1A1A1A"/>
          <w:sz w:val="23"/>
          <w:szCs w:val="23"/>
        </w:rPr>
        <w:t xml:space="preserve">6. Data breaches</w:t>
      </w:r>
    </w:p>
    <w:p>
      <w:pPr>
        <w:spacing w:after="120" w:line="276"/>
      </w:pPr>
      <w:r>
        <w:rPr>
          <w:rFonts w:ascii="Arial" w:cs="Arial" w:eastAsia="Arial" w:hAnsi="Arial"/>
          <w:color w:val="1A1A1A"/>
          <w:sz w:val="21"/>
          <w:szCs w:val="21"/>
        </w:rPr>
        <w:t xml:space="preserve">A personal data breach must be reported internally without delay. Where a breach is likely to result in a risk to individuals, the Company will report it to the Information Commissioner's Office without undue delay and, where feasible, within 72 hours, and will notify affected individuals where required.</w:t>
      </w:r>
    </w:p>
    <w:p>
      <w:pPr>
        <w:pBdr>
          <w:bottom w:val="single" w:color="1A1A1A" w:sz="4" w:space="4"/>
        </w:pBdr>
        <w:spacing w:after="100" w:before="240"/>
      </w:pPr>
      <w:r>
        <w:rPr>
          <w:rFonts w:ascii="Arial" w:cs="Arial" w:eastAsia="Arial" w:hAnsi="Arial"/>
          <w:b/>
          <w:bCs/>
          <w:color w:val="1A1A1A"/>
          <w:sz w:val="23"/>
          <w:szCs w:val="23"/>
        </w:rPr>
        <w:t xml:space="preserve">7. Retention and review</w:t>
      </w:r>
    </w:p>
    <w:p>
      <w:pPr>
        <w:spacing w:after="120" w:line="276"/>
      </w:pPr>
      <w:r>
        <w:rPr>
          <w:rFonts w:ascii="Arial" w:cs="Arial" w:eastAsia="Arial" w:hAnsi="Arial"/>
          <w:color w:val="1A1A1A"/>
          <w:sz w:val="21"/>
          <w:szCs w:val="21"/>
        </w:rPr>
        <w:t xml:space="preserve">Personal data is kept only as long as needed and then securely deleted. This policy is reviewed at least annually by the responsible person named above.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D9D9D9" w:sz="2"/>
              <w:left w:val="single" w:color="D9D9D9" w:sz="2"/>
              <w:bottom w:val="single" w:color="D9D9D9" w:sz="2"/>
              <w:right w:val="single" w:color="D9D9D9" w:sz="2"/>
            </w:tcBorders>
            <w:shd w:fill="EDF1F7" w:val="clear"/>
            <w:tcMar>
              <w:top w:type="dxa" w:w="130"/>
              <w:left w:type="dxa" w:w="160"/>
              <w:bottom w:type="dxa" w:w="130"/>
              <w:right w:type="dxa" w:w="160"/>
            </w:tcMar>
          </w:tcPr>
          <w:p>
            <w:pPr>
              <w:spacing w:after="40"/>
            </w:pPr>
            <w:r>
              <w:rPr>
                <w:rFonts w:ascii="Arial" w:cs="Arial" w:eastAsia="Arial" w:hAnsi="Arial"/>
                <w:b/>
                <w:bCs/>
                <w:color w:val="1A1A1A"/>
                <w:sz w:val="21"/>
                <w:szCs w:val="21"/>
              </w:rPr>
              <w:t xml:space="preserve">A free template from LWBC Solutions</w:t>
            </w:r>
          </w:p>
          <w:p>
            <w:r>
              <w:rPr>
                <w:rFonts w:ascii="Arial" w:cs="Arial" w:eastAsia="Arial" w:hAnsi="Arial"/>
                <w:color w:val="1A1A1A"/>
                <w:sz w:val="19"/>
                <w:szCs w:val="19"/>
              </w:rPr>
              <w:t xml:space="preserve">We help businesses fix what slows them down — software, systems, policies, forecasting and plain advice. Tell us what your bottleneck is and we will build the fix.   lwbc.ltd</w:t>
            </w:r>
          </w:p>
        </w:tc>
      </w:tr>
    </w:tbl>
    <w:p>
      <w:pPr>
        <w:spacing w:before="160"/>
      </w:pPr>
      <w:r>
        <w:rPr>
          <w:rFonts w:ascii="Arial" w:cs="Arial" w:eastAsia="Arial" w:hAnsi="Arial"/>
          <w:i/>
          <w:iCs/>
          <w:color w:val="595959"/>
          <w:sz w:val="17"/>
          <w:szCs w:val="17"/>
        </w:rPr>
        <w:t xml:space="preserve">This is a general template provided by LWBC Solutions as a starting point, not legal advice. Laws and statutory rates change, and your obligations depend on your business, sector and circumstances. Have it reviewed by a suitably qualified person and tailored to your organisation before you rely on it.</w:t>
      </w:r>
    </w:p>
    <w:sectPr>
      <w:headerReference w:type="default" r:id="rId7"/>
      <w:footerReference w:type="default" r:id="rId8"/>
      <w:pgSz w:w="12240" w:h="15840" w:orient="portrait"/>
      <w:pgMar w:top="1200" w:right="1440" w:bottom="12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6"/>
      </w:pBdr>
      <w:tabs>
        <w:tab w:val="right" w:pos="9360"/>
      </w:tabs>
    </w:pPr>
    <w:r>
      <w:rPr>
        <w:rFonts w:ascii="Arial" w:cs="Arial" w:eastAsia="Arial" w:hAnsi="Arial"/>
        <w:color w:val="595959"/>
        <w:sz w:val="16"/>
        <w:szCs w:val="16"/>
      </w:rPr>
      <w:t xml:space="preserve">Built by LWBC Solutions   ·   Custom tools and software for small businesses   ·   lwbc.ltd</w:t>
    </w:r>
    <w:r>
      <w:rPr>
        <w:rFonts w:ascii="Arial" w:cs="Arial" w:eastAsia="Arial" w:hAnsi="Arial"/>
        <w:sz w:val="16"/>
        <w:szCs w:val="16"/>
      </w:rPr>
      <w:t xml:space="preserve">	</w:t>
    </w:r>
    <w:r>
      <w:rPr>
        <w:rFonts w:ascii="Arial" w:cs="Arial" w:eastAsia="Arial" w:hAnsi="Arial"/>
        <w:color w:val="595959"/>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A1A1A" w:sz="4" w:space="6"/>
      </w:pBdr>
    </w:pPr>
    <w:r>
      <w:rPr>
        <w:rFonts w:ascii="Arial" w:cs="Arial" w:eastAsia="Arial" w:hAnsi="Arial"/>
        <w:b/>
        <w:bCs/>
        <w:color w:val="1A1A1A"/>
        <w:sz w:val="20"/>
        <w:szCs w:val="20"/>
      </w:rPr>
      <w:t xml:space="preserve">LWBC</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Protection (GDPR) Policy</dc:title>
  <dc:creator>LWBC Solutions</dc:creator>
  <cp:lastModifiedBy>Un-named</cp:lastModifiedBy>
  <cp:revision>1</cp:revision>
  <dcterms:created xsi:type="dcterms:W3CDTF">2026-06-23T10:33:46.436Z</dcterms:created>
  <dcterms:modified xsi:type="dcterms:W3CDTF">2026-06-23T10:33:46.436Z</dcterms:modified>
</cp:coreProperties>
</file>

<file path=docProps/custom.xml><?xml version="1.0" encoding="utf-8"?>
<Properties xmlns="http://schemas.openxmlformats.org/officeDocument/2006/custom-properties" xmlns:vt="http://schemas.openxmlformats.org/officeDocument/2006/docPropsVTypes"/>
</file>