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1A"/>
          <w:sz w:val="34"/>
          <w:szCs w:val="34"/>
        </w:rPr>
        <w:t xml:space="preserve">Expenses Policy</w:t>
      </w:r>
    </w:p>
    <w:p>
      <w:pPr>
        <w:spacing w:after="160"/>
      </w:pPr>
      <w:r>
        <w:rPr>
          <w:rFonts w:ascii="Arial" w:cs="Arial" w:eastAsia="Arial" w:hAnsi="Arial"/>
          <w:color w:val="595959"/>
          <w:sz w:val="21"/>
          <w:szCs w:val="21"/>
        </w:rPr>
        <w:t xml:space="preserve">What business expenses the Company will reimburse, and how to claim them, so spending stays fair, reasonable and properly recorded.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FBF7EF" w:val="clear"/>
            <w:tcMar>
              <w:top w:type="dxa" w:w="130"/>
              <w:left w:type="dxa" w:w="160"/>
              <w:bottom w:type="dxa" w:w="130"/>
              <w:right w:type="dxa" w:w="160"/>
            </w:tcMar>
          </w:tcPr>
          <w:p>
            <w:r>
              <w:rPr>
                <w:rFonts w:ascii="Arial" w:cs="Arial" w:eastAsia="Arial" w:hAnsi="Arial"/>
                <w:i/>
                <w:iCs/>
                <w:color w:val="595959"/>
                <w:sz w:val="18"/>
                <w:szCs w:val="18"/>
              </w:rPr>
              <w:t xml:space="preserve">How to use this template: fill the highlighted boxes in the document control panel below, then read through and adjust the wording to fit how your business actually works. Edit this Word version, then save or export to PDF when it is final. Wherever the policy says “the Company” it means the organisation named in that panel.</w:t>
            </w:r>
          </w:p>
        </w:tc>
      </w:tr>
    </w:tbl>
    <w:p>
      <w:pPr>
        <w:spacing w:after="80" w:before="160"/>
      </w:pPr>
      <w:r>
        <w:rPr>
          <w:rFonts w:ascii="Arial" w:cs="Arial" w:eastAsia="Arial" w:hAnsi="Arial"/>
          <w:b/>
          <w:bCs/>
          <w:color w:val="1A1A1A"/>
          <w:sz w:val="20"/>
          <w:szCs w:val="20"/>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Company name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company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Policy owner / responsible person</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and role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Approved by</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Date adopted</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Next review date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Claim submission deadline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e.g. month end ]</w:t>
            </w:r>
          </w:p>
        </w:tc>
      </w:tr>
    </w:tbl>
    <w:p>
      <w:pPr>
        <w:pBdr>
          <w:bottom w:val="single" w:color="1A1A1A" w:sz="4" w:space="4"/>
        </w:pBdr>
        <w:spacing w:after="100" w:before="240"/>
      </w:pPr>
      <w:r>
        <w:rPr>
          <w:rFonts w:ascii="Arial" w:cs="Arial" w:eastAsia="Arial" w:hAnsi="Arial"/>
          <w:b/>
          <w:bCs/>
          <w:color w:val="1A1A1A"/>
          <w:sz w:val="23"/>
          <w:szCs w:val="23"/>
        </w:rPr>
        <w:t xml:space="preserve">1. Principles</w:t>
      </w:r>
    </w:p>
    <w:p>
      <w:pPr>
        <w:spacing w:after="120" w:line="276"/>
      </w:pPr>
      <w:r>
        <w:rPr>
          <w:rFonts w:ascii="Arial" w:cs="Arial" w:eastAsia="Arial" w:hAnsi="Arial"/>
          <w:color w:val="1A1A1A"/>
          <w:sz w:val="21"/>
          <w:szCs w:val="21"/>
        </w:rPr>
        <w:t xml:space="preserve">The Company reimburses reasonable expenses that are necessarily incurred wholly for business purposes, are supported by evidence, and are claimed promptly. Expenses should always represent good value.</w:t>
      </w:r>
    </w:p>
    <w:p>
      <w:pPr>
        <w:pBdr>
          <w:bottom w:val="single" w:color="1A1A1A" w:sz="4" w:space="4"/>
        </w:pBdr>
        <w:spacing w:after="100" w:before="240"/>
      </w:pPr>
      <w:r>
        <w:rPr>
          <w:rFonts w:ascii="Arial" w:cs="Arial" w:eastAsia="Arial" w:hAnsi="Arial"/>
          <w:b/>
          <w:bCs/>
          <w:color w:val="1A1A1A"/>
          <w:sz w:val="23"/>
          <w:szCs w:val="23"/>
        </w:rPr>
        <w:t xml:space="preserve">2. What you can claim</w:t>
      </w:r>
    </w:p>
    <w:p>
      <w:pPr>
        <w:pStyle w:val="ListParagraph"/>
        <w:numPr>
          <w:ilvl w:val="0"/>
          <w:numId w:val="1"/>
        </w:numPr>
        <w:spacing w:after="60" w:line="276"/>
      </w:pPr>
      <w:r>
        <w:rPr>
          <w:rFonts w:ascii="Arial" w:cs="Arial" w:eastAsia="Arial" w:hAnsi="Arial"/>
          <w:color w:val="1A1A1A"/>
          <w:sz w:val="21"/>
          <w:szCs w:val="21"/>
        </w:rPr>
        <w:t xml:space="preserve">Business travel, including public transport and parking.</w:t>
      </w:r>
    </w:p>
    <w:p>
      <w:pPr>
        <w:pStyle w:val="ListParagraph"/>
        <w:numPr>
          <w:ilvl w:val="0"/>
          <w:numId w:val="1"/>
        </w:numPr>
        <w:spacing w:after="60" w:line="276"/>
      </w:pPr>
      <w:r>
        <w:rPr>
          <w:rFonts w:ascii="Arial" w:cs="Arial" w:eastAsia="Arial" w:hAnsi="Arial"/>
          <w:color w:val="1A1A1A"/>
          <w:sz w:val="21"/>
          <w:szCs w:val="21"/>
        </w:rPr>
        <w:t xml:space="preserve">Business mileage in your own vehicle, at HMRC approved mileage rates (currently 45p per mile for the first 10,000 business miles in the tax year and 25p thereafter for cars). Check the current rates each tax year.</w:t>
      </w:r>
    </w:p>
    <w:p>
      <w:pPr>
        <w:pStyle w:val="ListParagraph"/>
        <w:numPr>
          <w:ilvl w:val="0"/>
          <w:numId w:val="1"/>
        </w:numPr>
        <w:spacing w:after="60" w:line="276"/>
      </w:pPr>
      <w:r>
        <w:rPr>
          <w:rFonts w:ascii="Arial" w:cs="Arial" w:eastAsia="Arial" w:hAnsi="Arial"/>
          <w:color w:val="1A1A1A"/>
          <w:sz w:val="21"/>
          <w:szCs w:val="21"/>
        </w:rPr>
        <w:t xml:space="preserve">Necessary accommodation and reasonable subsistence when away on business.</w:t>
      </w:r>
    </w:p>
    <w:p>
      <w:pPr>
        <w:pStyle w:val="ListParagraph"/>
        <w:numPr>
          <w:ilvl w:val="0"/>
          <w:numId w:val="1"/>
        </w:numPr>
        <w:spacing w:after="60" w:line="276"/>
      </w:pPr>
      <w:r>
        <w:rPr>
          <w:rFonts w:ascii="Arial" w:cs="Arial" w:eastAsia="Arial" w:hAnsi="Arial"/>
          <w:color w:val="1A1A1A"/>
          <w:sz w:val="21"/>
          <w:szCs w:val="21"/>
        </w:rPr>
        <w:t xml:space="preserve">Approved materials, tools or supplies bought for a job.</w:t>
      </w:r>
    </w:p>
    <w:p>
      <w:pPr>
        <w:pBdr>
          <w:bottom w:val="single" w:color="1A1A1A" w:sz="4" w:space="4"/>
        </w:pBdr>
        <w:spacing w:after="100" w:before="240"/>
      </w:pPr>
      <w:r>
        <w:rPr>
          <w:rFonts w:ascii="Arial" w:cs="Arial" w:eastAsia="Arial" w:hAnsi="Arial"/>
          <w:b/>
          <w:bCs/>
          <w:color w:val="1A1A1A"/>
          <w:sz w:val="23"/>
          <w:szCs w:val="23"/>
        </w:rPr>
        <w:t xml:space="preserve">3. What you cannot claim</w:t>
      </w:r>
    </w:p>
    <w:p>
      <w:pPr>
        <w:pStyle w:val="ListParagraph"/>
        <w:numPr>
          <w:ilvl w:val="0"/>
          <w:numId w:val="1"/>
        </w:numPr>
        <w:spacing w:after="60" w:line="276"/>
      </w:pPr>
      <w:r>
        <w:rPr>
          <w:rFonts w:ascii="Arial" w:cs="Arial" w:eastAsia="Arial" w:hAnsi="Arial"/>
          <w:color w:val="1A1A1A"/>
          <w:sz w:val="21"/>
          <w:szCs w:val="21"/>
        </w:rPr>
        <w:t xml:space="preserve">Personal or private spending.</w:t>
      </w:r>
    </w:p>
    <w:p>
      <w:pPr>
        <w:pStyle w:val="ListParagraph"/>
        <w:numPr>
          <w:ilvl w:val="0"/>
          <w:numId w:val="1"/>
        </w:numPr>
        <w:spacing w:after="60" w:line="276"/>
      </w:pPr>
      <w:r>
        <w:rPr>
          <w:rFonts w:ascii="Arial" w:cs="Arial" w:eastAsia="Arial" w:hAnsi="Arial"/>
          <w:color w:val="1A1A1A"/>
          <w:sz w:val="21"/>
          <w:szCs w:val="21"/>
        </w:rPr>
        <w:t xml:space="preserve">Fines, penalties or speeding tickets.</w:t>
      </w:r>
    </w:p>
    <w:p>
      <w:pPr>
        <w:pStyle w:val="ListParagraph"/>
        <w:numPr>
          <w:ilvl w:val="0"/>
          <w:numId w:val="1"/>
        </w:numPr>
        <w:spacing w:after="60" w:line="276"/>
      </w:pPr>
      <w:r>
        <w:rPr>
          <w:rFonts w:ascii="Arial" w:cs="Arial" w:eastAsia="Arial" w:hAnsi="Arial"/>
          <w:color w:val="1A1A1A"/>
          <w:sz w:val="21"/>
          <w:szCs w:val="21"/>
        </w:rPr>
        <w:t xml:space="preserve">Alcohol, unless expressly approved.</w:t>
      </w:r>
    </w:p>
    <w:p>
      <w:pPr>
        <w:pStyle w:val="ListParagraph"/>
        <w:numPr>
          <w:ilvl w:val="0"/>
          <w:numId w:val="1"/>
        </w:numPr>
        <w:spacing w:after="60" w:line="276"/>
      </w:pPr>
      <w:r>
        <w:rPr>
          <w:rFonts w:ascii="Arial" w:cs="Arial" w:eastAsia="Arial" w:hAnsi="Arial"/>
          <w:color w:val="1A1A1A"/>
          <w:sz w:val="21"/>
          <w:szCs w:val="21"/>
        </w:rPr>
        <w:t xml:space="preserve">Anything without a valid receipt or record.</w:t>
      </w:r>
    </w:p>
    <w:p>
      <w:pPr>
        <w:pBdr>
          <w:bottom w:val="single" w:color="1A1A1A" w:sz="4" w:space="4"/>
        </w:pBdr>
        <w:spacing w:after="100" w:before="240"/>
      </w:pPr>
      <w:r>
        <w:rPr>
          <w:rFonts w:ascii="Arial" w:cs="Arial" w:eastAsia="Arial" w:hAnsi="Arial"/>
          <w:b/>
          <w:bCs/>
          <w:color w:val="1A1A1A"/>
          <w:sz w:val="23"/>
          <w:szCs w:val="23"/>
        </w:rPr>
        <w:t xml:space="preserve">4. Evidence</w:t>
      </w:r>
    </w:p>
    <w:p>
      <w:pPr>
        <w:spacing w:after="120" w:line="276"/>
      </w:pPr>
      <w:r>
        <w:rPr>
          <w:rFonts w:ascii="Arial" w:cs="Arial" w:eastAsia="Arial" w:hAnsi="Arial"/>
          <w:color w:val="1A1A1A"/>
          <w:sz w:val="21"/>
          <w:szCs w:val="21"/>
        </w:rPr>
        <w:t xml:space="preserve">All claims must be supported by itemised receipts or, for mileage, a mileage log showing date, journey and business purpose. The Company's mileage log and expense templates can be used for this.</w:t>
      </w:r>
    </w:p>
    <w:p>
      <w:pPr>
        <w:pBdr>
          <w:bottom w:val="single" w:color="1A1A1A" w:sz="4" w:space="4"/>
        </w:pBdr>
        <w:spacing w:after="100" w:before="240"/>
      </w:pPr>
      <w:r>
        <w:rPr>
          <w:rFonts w:ascii="Arial" w:cs="Arial" w:eastAsia="Arial" w:hAnsi="Arial"/>
          <w:b/>
          <w:bCs/>
          <w:color w:val="1A1A1A"/>
          <w:sz w:val="23"/>
          <w:szCs w:val="23"/>
        </w:rPr>
        <w:t xml:space="preserve">5. Approval and payment</w:t>
      </w:r>
    </w:p>
    <w:p>
      <w:pPr>
        <w:spacing w:after="120" w:line="276"/>
      </w:pPr>
      <w:r>
        <w:rPr>
          <w:rFonts w:ascii="Arial" w:cs="Arial" w:eastAsia="Arial" w:hAnsi="Arial"/>
          <w:color w:val="1A1A1A"/>
          <w:sz w:val="21"/>
          <w:szCs w:val="21"/>
        </w:rPr>
        <w:t xml:space="preserve">Submit claims by the deadline above to the approver named in the document control panel. Approved claims are normally paid with the next available payment run.</w:t>
      </w:r>
    </w:p>
    <w:p>
      <w:pPr>
        <w:pBdr>
          <w:bottom w:val="single" w:color="1A1A1A" w:sz="4" w:space="4"/>
        </w:pBdr>
        <w:spacing w:after="100" w:before="240"/>
      </w:pPr>
      <w:r>
        <w:rPr>
          <w:rFonts w:ascii="Arial" w:cs="Arial" w:eastAsia="Arial" w:hAnsi="Arial"/>
          <w:b/>
          <w:bCs/>
          <w:color w:val="1A1A1A"/>
          <w:sz w:val="23"/>
          <w:szCs w:val="23"/>
        </w:rPr>
        <w:t xml:space="preserve">6. Misuse and review</w:t>
      </w:r>
    </w:p>
    <w:p>
      <w:pPr>
        <w:spacing w:after="120" w:line="276"/>
      </w:pPr>
      <w:r>
        <w:rPr>
          <w:rFonts w:ascii="Arial" w:cs="Arial" w:eastAsia="Arial" w:hAnsi="Arial"/>
          <w:color w:val="1A1A1A"/>
          <w:sz w:val="21"/>
          <w:szCs w:val="21"/>
        </w:rPr>
        <w:t xml:space="preserve">Knowingly submitting false or inflated claims is treated as a serious disciplinary matter. This policy is reviewed at least annually by the responsible person named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EDF1F7" w:val="clear"/>
            <w:tcMar>
              <w:top w:type="dxa" w:w="130"/>
              <w:left w:type="dxa" w:w="160"/>
              <w:bottom w:type="dxa" w:w="130"/>
              <w:right w:type="dxa" w:w="160"/>
            </w:tcMar>
          </w:tcPr>
          <w:p>
            <w:pPr>
              <w:spacing w:after="40"/>
            </w:pPr>
            <w:r>
              <w:rPr>
                <w:rFonts w:ascii="Arial" w:cs="Arial" w:eastAsia="Arial" w:hAnsi="Arial"/>
                <w:b/>
                <w:bCs/>
                <w:color w:val="1A1A1A"/>
                <w:sz w:val="21"/>
                <w:szCs w:val="21"/>
              </w:rPr>
              <w:t xml:space="preserve">A free template from LWBC Solutions</w:t>
            </w:r>
          </w:p>
          <w:p>
            <w:r>
              <w:rPr>
                <w:rFonts w:ascii="Arial" w:cs="Arial" w:eastAsia="Arial" w:hAnsi="Arial"/>
                <w:color w:val="1A1A1A"/>
                <w:sz w:val="19"/>
                <w:szCs w:val="19"/>
              </w:rPr>
              <w:t xml:space="preserve">We help businesses fix what slows them down — software, systems, policies, forecasting and plain advice. Tell us what your bottleneck is and we will build the fix.   lwbc.ltd</w:t>
            </w:r>
          </w:p>
        </w:tc>
      </w:tr>
    </w:tbl>
    <w:p>
      <w:pPr>
        <w:spacing w:before="160"/>
      </w:pPr>
      <w:r>
        <w:rPr>
          <w:rFonts w:ascii="Arial" w:cs="Arial" w:eastAsia="Arial" w:hAnsi="Arial"/>
          <w:i/>
          <w:iCs/>
          <w:color w:val="595959"/>
          <w:sz w:val="17"/>
          <w:szCs w:val="17"/>
        </w:rPr>
        <w:t xml:space="preserve">This is a general template provided by LWBC Solutions as a starting point, not legal advice. Laws and statutory rates change, and your obligations depend on your business, sector and circumstances. Have it reviewed by a suitably qualified person and tailored to your organisation before you rely on it.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360"/>
      </w:tabs>
    </w:pPr>
    <w:r>
      <w:rPr>
        <w:rFonts w:ascii="Arial" w:cs="Arial" w:eastAsia="Arial" w:hAnsi="Arial"/>
        <w:color w:val="595959"/>
        <w:sz w:val="16"/>
        <w:szCs w:val="16"/>
      </w:rPr>
      <w:t xml:space="preserve">Built by LWBC Solutions   ·   Custom tools and software for small businesses   ·   lwbc.ltd</w:t>
    </w:r>
    <w:r>
      <w:rPr>
        <w:rFonts w:ascii="Arial" w:cs="Arial" w:eastAsia="Arial" w:hAnsi="Arial"/>
        <w:sz w:val="16"/>
        <w:szCs w:val="16"/>
      </w:rPr>
      <w:t xml:space="preserve">	</w:t>
    </w:r>
    <w:r>
      <w:rPr>
        <w:rFonts w:ascii="Arial" w:cs="Arial" w:eastAsia="Arial" w:hAnsi="Arial"/>
        <w:color w:val="59595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1A1A" w:sz="4" w:space="6"/>
      </w:pBdr>
    </w:pPr>
    <w:r>
      <w:rPr>
        <w:rFonts w:ascii="Arial" w:cs="Arial" w:eastAsia="Arial" w:hAnsi="Arial"/>
        <w:b/>
        <w:bCs/>
        <w:color w:val="1A1A1A"/>
        <w:sz w:val="20"/>
        <w:szCs w:val="20"/>
      </w:rPr>
      <w:t xml:space="preserve">LWBC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Expenses Policy</dc:title>
  <dc:creator>LWBC Solutions</dc:creator>
  <cp:lastModifiedBy>Un-named</cp:lastModifiedBy>
  <cp:revision>1</cp:revision>
  <dcterms:created xsi:type="dcterms:W3CDTF">2026-06-23T10:33:46.630Z</dcterms:created>
  <dcterms:modified xsi:type="dcterms:W3CDTF">2026-06-23T10:33:46.630Z</dcterms:modified>
</cp:coreProperties>
</file>

<file path=docProps/custom.xml><?xml version="1.0" encoding="utf-8"?>
<Properties xmlns="http://schemas.openxmlformats.org/officeDocument/2006/custom-properties" xmlns:vt="http://schemas.openxmlformats.org/officeDocument/2006/docPropsVTypes"/>
</file>